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tblInd w:w="-1026" w:type="dxa"/>
        <w:tblLook w:val="04A0" w:firstRow="1" w:lastRow="0" w:firstColumn="1" w:lastColumn="0" w:noHBand="0" w:noVBand="1"/>
      </w:tblPr>
      <w:tblGrid>
        <w:gridCol w:w="1374"/>
        <w:gridCol w:w="990"/>
        <w:gridCol w:w="7328"/>
        <w:gridCol w:w="1128"/>
      </w:tblGrid>
      <w:tr w:rsidR="007E7774" w:rsidRPr="007E7774" w:rsidTr="00223F34">
        <w:trPr>
          <w:trHeight w:val="570"/>
        </w:trPr>
        <w:tc>
          <w:tcPr>
            <w:tcW w:w="10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bookmarkEnd w:id="0"/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ru-RU"/>
              </w:rPr>
              <w:t>інформатика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ru-RU"/>
              </w:rPr>
              <w:t xml:space="preserve">, 8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32"/>
                <w:szCs w:val="32"/>
                <w:lang w:eastAsia="ru-RU"/>
              </w:rPr>
              <w:t>клас</w:t>
            </w:r>
            <w:proofErr w:type="spellEnd"/>
          </w:p>
        </w:tc>
      </w:tr>
      <w:tr w:rsidR="007E7774" w:rsidRPr="007E7774" w:rsidTr="00223F34">
        <w:trPr>
          <w:trHeight w:val="72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уроку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Номери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урокі</w:t>
            </w:r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Змі</w:t>
            </w:r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навчального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матеріалу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годин</w:t>
            </w:r>
          </w:p>
        </w:tc>
      </w:tr>
      <w:tr w:rsidR="007E7774" w:rsidRPr="007E7774" w:rsidTr="00223F34">
        <w:trPr>
          <w:trHeight w:val="499"/>
        </w:trPr>
        <w:tc>
          <w:tcPr>
            <w:tcW w:w="9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Продовження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знайомства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з ОС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Windows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7774" w:rsidRPr="007E7774" w:rsidTr="00223F34">
        <w:trPr>
          <w:trHeight w:val="105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Актуалізація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базових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теми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Операційна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система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Windows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».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Основні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елементи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вікон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правила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ними.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Загальні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правила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вікнами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параметрів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Елементи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вікон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параметрів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особливості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ізними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типами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вікон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їх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елементів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Практична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перевірочна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робота № 1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Основні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поняття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ОС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Windows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75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Робочий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іл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на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власний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смак».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Упорядкування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значків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Робочому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Столі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Виділення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групи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Нові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Робочому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Столі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Оформлення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Робочого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Столу. </w:t>
            </w:r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</w:t>
            </w:r>
            <w:proofErr w:type="gram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робота № 2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Робочого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Столу»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4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видалення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видалення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Панелі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Керування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продуктів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інсталяції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Можливі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варіанти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Посл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ідовність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великих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продуктів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Видалення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невеликих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утиліт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оновлень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що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містяться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арх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Практична робота № 3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видалення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продуктів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99"/>
        </w:trPr>
        <w:tc>
          <w:tcPr>
            <w:tcW w:w="9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Основи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мові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Паскаль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E7774" w:rsidRPr="007E7774" w:rsidTr="00223F34">
        <w:trPr>
          <w:trHeight w:val="214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Актуалізація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базових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теми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Основи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алгоритмізації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Навчальна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Алгоритмічна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Середовище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АЛГО».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Перше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знайомство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мовою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Переваги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Турбо Паскаль. Характеристика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 –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алфавіт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синтаксис, семантика.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Особливості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алфавіту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Паскаль: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спец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іальні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символи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складені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символи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розділові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знаки. Слова (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зарезервовані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стандартні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ідентифікатори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). Структура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Концепція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типів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Правила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імен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Паскалі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Вирази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правила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їх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ними.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Арифметичні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відношення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логічні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Процедури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Правила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записування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мовою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66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Інтегроване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середовище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Турбо Паскаль.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Складники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системи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Турбо Паскаль. Головне меню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нового файлу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Редагування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Збереження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файлі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Збереження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файлу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ід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іншою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назвою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Відкриття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файлу з текстом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Компіляція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Перехід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іж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вікнами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Турбо Паскаль.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Вихід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Практична робота № 4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редагування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Турбо Паскаль»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88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Корисні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функції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при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чисельними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данними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val="en-US" w:eastAsia="ru-RU"/>
              </w:rPr>
              <w:t xml:space="preserve"> div, mod.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Функції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val="en-US" w:eastAsia="ru-RU"/>
              </w:rPr>
              <w:t xml:space="preserve"> abs,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val="en-US" w:eastAsia="ru-RU"/>
              </w:rPr>
              <w:t>sqr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val="en-US" w:eastAsia="ru-RU"/>
              </w:rPr>
              <w:t xml:space="preserve">, round,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val="en-US" w:eastAsia="ru-RU"/>
              </w:rPr>
              <w:t>trun</w:t>
            </w:r>
            <w:proofErr w:type="spellEnd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val="en-US" w:eastAsia="ru-RU"/>
              </w:rPr>
              <w:t>frac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val="en-US"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 робота № 5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Продовження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Турбо Паскаль.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операцій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div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mod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3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E7774">
              <w:rPr>
                <w:rFonts w:ascii="Georgia" w:eastAsia="Times New Roman" w:hAnsi="Georgia" w:cs="Arial"/>
                <w:b/>
                <w:bCs/>
                <w:color w:val="000000"/>
                <w:sz w:val="18"/>
                <w:szCs w:val="18"/>
                <w:lang w:eastAsia="ru-RU"/>
              </w:rPr>
              <w:t>ідсумковий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урок тем </w:t>
            </w:r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>Продовження</w:t>
            </w:r>
            <w:proofErr w:type="spellEnd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>знайомства</w:t>
            </w:r>
            <w:proofErr w:type="spellEnd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 xml:space="preserve"> з ОС </w:t>
            </w:r>
            <w:proofErr w:type="spellStart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>Windows</w:t>
            </w:r>
            <w:proofErr w:type="spellEnd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>» та «</w:t>
            </w:r>
            <w:proofErr w:type="spellStart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>Основи</w:t>
            </w:r>
            <w:proofErr w:type="spellEnd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>мові</w:t>
            </w:r>
            <w:proofErr w:type="spellEnd"/>
            <w:r w:rsidRPr="007E7774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ru-RU"/>
              </w:rPr>
              <w:t xml:space="preserve"> Паскаль»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99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Тематичне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з тем "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Продовження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знайомства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з ОС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Windows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" та "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Основи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мові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Паскаль"</w:t>
            </w:r>
          </w:p>
        </w:tc>
      </w:tr>
      <w:tr w:rsidR="007E7774" w:rsidRPr="007E7774" w:rsidTr="00223F34">
        <w:trPr>
          <w:trHeight w:val="499"/>
        </w:trPr>
        <w:tc>
          <w:tcPr>
            <w:tcW w:w="9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Графічний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редактор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CorelDRAW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E7774" w:rsidRPr="007E7774" w:rsidTr="00223F34">
        <w:trPr>
          <w:trHeight w:val="19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Актуалізація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базових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теми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Графічний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редактор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Paint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».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Перше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знайомство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CorelDRAW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нимию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Переваги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недоліки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растрових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векторних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зображень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Переваги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CorelDRAW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Елементи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вікна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редактора.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його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характеристики.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Виділення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переміщення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масштабування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обертання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нахил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копіювання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видалення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Групування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розгрупування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масштабу перегляду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зображень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кольору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заливка та контуру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Практична робота № 6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кольору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заливки та абрису.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Виділення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переміщення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масштабування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обертання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нахил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Коп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іюємо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переміщуємо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Розфарбовуємо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малюнок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0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редагування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простих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фігур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нового документа.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Збереження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малюнка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файл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Збереження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файлу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іншим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ім’ям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Відкриття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файлу.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Малювання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простих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фігур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прямокутник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(квадрат),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еліпс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(коло, сектор, дуга),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зірка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складна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зірка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багатокутник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спіраль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сітка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). </w:t>
            </w:r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</w:t>
            </w:r>
            <w:proofErr w:type="gram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робота № 7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Малюємо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фігури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23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Малювання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ліній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Малювання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довільної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кривої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прямого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ізку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ламаної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інструментом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Свободная форма.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параметрі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абрису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ліній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Малювання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ламаних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ліній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інструментом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Ломаная линия.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Малювання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довільних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кривих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інструментами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Кривая Безье, Перо. Робота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інструментом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Художественное оформление у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режимах. </w:t>
            </w:r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</w:t>
            </w:r>
            <w:proofErr w:type="gram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робота № 8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Працюємо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лініями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06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Редагування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заливки та абрису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однорідної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 заливки. 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Градієнтна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заливка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її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Заливка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візерунком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Заповнення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текстурою. Заливка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PostScript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інструмента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Интерактивная заливка.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Редагування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абрису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 робота № 9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Редагування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заливки та абрису»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0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Робота з текстом.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Фігурний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 (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форматування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редагування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вертикального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горизонтального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інтервалу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між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символами,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розташування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символів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). Робота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звичайним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текстом.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Розміщення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фігурного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вздовж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кривої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Вставка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символів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 робота № 10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«Робота з текстом.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Вставка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символі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ідсумковий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урок теми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"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Графічний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редактор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CorelDRAW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05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Тематичне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з теми "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Графічний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редактор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CorelDRAW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</w:tr>
      <w:tr w:rsidR="007E7774" w:rsidRPr="007E7774" w:rsidTr="00223F34">
        <w:trPr>
          <w:trHeight w:val="499"/>
        </w:trPr>
        <w:tc>
          <w:tcPr>
            <w:tcW w:w="9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Продовжуємо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знайомство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текстовим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процесором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MS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Word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E7774" w:rsidRPr="007E7774" w:rsidTr="00223F34">
        <w:trPr>
          <w:trHeight w:val="118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Актуалізація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базових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навичок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теми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Текстовий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процесор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MS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Word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». Робота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списками.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Маркіровані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нумеровані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списки.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параметрів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списків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Видалення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маркерів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спискі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їх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звичайний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Додаткові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можливості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форматування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текстових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документів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нумерації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сторінок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колонтитулів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рамки та фону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сторінки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41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Робота з колонками.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Розбивка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тексту на колонки.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колонок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однакової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ширини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ширини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колонок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відстані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між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ними.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форматування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тексту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колонках.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Розташування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фрагменту тексту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початку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наступної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колонки. 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Спільний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заголовок для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кількох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колонок. 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розділі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текстового документа. Вставка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видалення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розриву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розділу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Практична робота № 11 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текстовому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документі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списків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колонок»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220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Робота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таблицями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текстовому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процесорі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однаковою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шириною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стовпчиків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Малювання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меню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Переміщення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тексту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таблицю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.В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иділення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Додавання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рядків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стовпчиків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Об’єднання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розділення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клітинок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Видалення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ширини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стовпців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висоти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рядків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однакової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ширини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стовпців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висоти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рядків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характеристик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ліній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заливка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клітинки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рядка,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стовпчика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вертикального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вирівнювання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тексту,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напрямку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тексту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клітинці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Автоформатування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.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Сортування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прост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обчислення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Практична робота № 12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«Робота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таблицями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текстовому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процесорі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45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Робота з формулами.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панелі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інструментів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текстового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процесора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приховування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відображення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переміщення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розміру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).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Додавання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видалення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переміщення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кнопки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панелі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інструментів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нижнього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верхнього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індексів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символів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Призначення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можливості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Редактора формул. Вставка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формулу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символів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шаблонів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Додавання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текстовий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документ формул,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редагування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вставлених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формул.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 робота № 13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Створюємо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редагуємо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формули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текстовому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документі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ідсумковий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урок теми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"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Продовжуємо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знайомство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текстовим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процесором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MS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Word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99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Тематичне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з теми "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Продовжуємо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знайомство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текстовим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процесором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MS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Word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</w:tr>
      <w:tr w:rsidR="007E7774" w:rsidRPr="007E7774" w:rsidTr="00223F34">
        <w:trPr>
          <w:trHeight w:val="499"/>
        </w:trPr>
        <w:tc>
          <w:tcPr>
            <w:tcW w:w="9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Модуль CRT.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Розгалуження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вибі</w:t>
            </w:r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E7774" w:rsidRPr="007E7774" w:rsidTr="00223F34">
        <w:trPr>
          <w:trHeight w:val="69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Актуалізація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базових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теми «Оператор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розгалуження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». Оператор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розгалуження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Повна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скорочена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форма оператора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розгалуження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Паскаль: правила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запису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оператору.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94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Вкладений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умовний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оператор.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Логічні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логічне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множення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додавання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заперечення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).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іоритет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різних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операцій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Практична робота № 14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відлагодження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умовного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оператора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Турбо Паскаль»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44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Призначення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основні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можливості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модуля CRT.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Текстовий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графічний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режим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монітора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комп’ютера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Призначення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модуля CRT.  Робота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екраном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кольорів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яскравості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Подача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звукових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сигналів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вбудованого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таймеру. 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зручного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інтерфейсу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користувача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допомогою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процедур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функцій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модуля CRT.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 робота № 15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Розробка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інтерфейсу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користувача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Турбо Паскаль»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9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Оператор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вибору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Case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Оцінка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ефективності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розроблених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Правила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запису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оператору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вибору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Керуюча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змінна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Діапазон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значень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керуючої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змінної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 робота № 16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Розв’язування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та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перевіряння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задач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вибору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розгалуження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38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</w:p>
        </w:tc>
      </w:tr>
      <w:tr w:rsidR="007E7774" w:rsidRPr="007E7774" w:rsidTr="00223F34">
        <w:trPr>
          <w:trHeight w:val="499"/>
        </w:trPr>
        <w:tc>
          <w:tcPr>
            <w:tcW w:w="9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Готуємо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та проводимо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тестування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E7774" w:rsidRPr="007E7774" w:rsidTr="00223F34">
        <w:trPr>
          <w:trHeight w:val="144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Проблеми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ідготовки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Комплект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ADSoft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Tester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Властивості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привітання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Основні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прийоми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роботи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вбудованим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текстовим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редактором.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завдань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завдання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одиночного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вибору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множинного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вибору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запитання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самостійною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відповіддю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завдання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порядку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відповідності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). Перегляд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запитань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тестового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завдання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 робота № 17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 «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тестового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завдання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ADSoft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Tester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41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тестового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завдання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пароля доступу,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параметрів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часу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визначення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критеріїв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оцінювання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Характеристика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режимів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Вибі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тестового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завдання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Авторизація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користувача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Вибі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відповіді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Закінчення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 робота № 18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тестового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завдання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комплексі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ADSoft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Tester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».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індивідуальних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групових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завдань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51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ідсумковий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урок тем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«Модуль CRT.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Розгалуження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вибі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 та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Готуємо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проводимо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тестування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99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Тематичне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з тем "Модуль CRT.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Розгалуження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вибі</w:t>
            </w:r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" та "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Готуємо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та проводимо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тестування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</w:tr>
      <w:tr w:rsidR="007E7774" w:rsidRPr="007E7774" w:rsidTr="00223F34">
        <w:trPr>
          <w:trHeight w:val="499"/>
        </w:trPr>
        <w:tc>
          <w:tcPr>
            <w:tcW w:w="9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2"/>
                <w:szCs w:val="22"/>
                <w:lang w:eastAsia="ru-RU"/>
              </w:rPr>
              <w:t>Електронні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2"/>
                <w:szCs w:val="22"/>
                <w:lang w:eastAsia="ru-RU"/>
              </w:rPr>
              <w:t>презентації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E7774" w:rsidRPr="007E7774" w:rsidTr="00223F34">
        <w:trPr>
          <w:trHeight w:val="14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Актуалізація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базових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навичок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теми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Електронні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».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параметрі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показу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електронних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нотаток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доповідача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параметрів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показу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призначення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варіанту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режиму показу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визначення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кількості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слайдів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що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входять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до показу,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встановлення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часу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Практична робота № 19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параметрі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показу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електронної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24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розробка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інтерактивних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опорного слайду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інтерактивної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Розробка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зв’язків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між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ізними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слайдами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Робота з кнопками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керування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редагування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).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Додаткові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налаштування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вигляду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кнопок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керування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Зв’язування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об’єктів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слайдів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 робота № 20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інтерактивної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6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інтерактивного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навчального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проекту.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Представлення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загальної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концепції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проекту.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Планування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розробка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окремих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частин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проекту.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Об’єднання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розроблених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тематичних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презентацій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загальний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проект.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9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Закінчення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інтерактивного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навчального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проекту.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інтерактивної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презентації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95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Тематичне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з теми "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Електронні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презентації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</w:tr>
      <w:tr w:rsidR="007E7774" w:rsidRPr="007E7774" w:rsidTr="00223F34">
        <w:trPr>
          <w:trHeight w:val="570"/>
        </w:trPr>
        <w:tc>
          <w:tcPr>
            <w:tcW w:w="9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lastRenderedPageBreak/>
              <w:t>Циклічні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алгоритми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7E7774" w:rsidRPr="007E7774" w:rsidTr="00223F34">
        <w:trPr>
          <w:trHeight w:val="9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Актуалізація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базових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теми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Навчальній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Алгоритмічній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».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Циклічні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Запис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циклічних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 правилами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Порівняння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дії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циклічних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Навчальній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Алгоритмічній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Паскаль.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63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Застосування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циклічних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при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розв’язуванні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задач.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Практична робота № 21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циклічних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при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розв’язуванні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задач»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14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відлагоджувача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Турбо Паскаль.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Можливі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помилки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при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записі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помилок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кроках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Призупинення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виконання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Перегляд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значень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змінних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виразі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</w:t>
            </w:r>
            <w:proofErr w:type="gram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робота № 22 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Відлагодження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засобами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середовища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Турбо Паскаль»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112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розгалуження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</w:t>
            </w:r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видів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циклічних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Циклічний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оператор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із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вкладеним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умовним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оператором.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умовних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д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о(</w:t>
            </w:r>
            <w:proofErr w:type="spellStart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після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циклу. </w:t>
            </w:r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Практична робота № 23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Розв’язування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задач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використанням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циклічного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умовного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</w:t>
            </w:r>
            <w:proofErr w:type="gram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вкладених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циклічних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операторів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Експериментально-дослідницька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робота № 24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Розробка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відлагодження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вкладеними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циклами»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>Контрольна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ru-RU"/>
              </w:rPr>
              <w:t xml:space="preserve"> робота з теми</w:t>
            </w: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Циклічні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алгоритми</w:t>
            </w:r>
            <w:proofErr w:type="spellEnd"/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</w:pPr>
            <w:r w:rsidRPr="007E7774">
              <w:rPr>
                <w:rFonts w:ascii="Georgia" w:eastAsia="Times New Roman" w:hAnsi="Georgia" w:cs="Arial"/>
                <w:sz w:val="18"/>
                <w:szCs w:val="18"/>
                <w:lang w:eastAsia="ru-RU"/>
              </w:rPr>
              <w:t>1</w:t>
            </w:r>
          </w:p>
        </w:tc>
      </w:tr>
      <w:tr w:rsidR="007E7774" w:rsidRPr="007E7774" w:rsidTr="00223F34">
        <w:trPr>
          <w:trHeight w:val="499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774" w:rsidRPr="007E7774" w:rsidRDefault="007E7774" w:rsidP="007E7774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Тематичне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з теми "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Циклічні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алгоритми</w:t>
            </w:r>
            <w:proofErr w:type="spellEnd"/>
            <w:r w:rsidRPr="007E7774">
              <w:rPr>
                <w:rFonts w:ascii="Georgia" w:eastAsia="Times New Roman" w:hAnsi="Georgia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</w:tr>
    </w:tbl>
    <w:p w:rsidR="003F7341" w:rsidRDefault="003F7341"/>
    <w:sectPr w:rsidR="003F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74"/>
    <w:rsid w:val="00223F34"/>
    <w:rsid w:val="003F7341"/>
    <w:rsid w:val="007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1857</Words>
  <Characters>10585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3</cp:revision>
  <dcterms:created xsi:type="dcterms:W3CDTF">2012-11-12T19:42:00Z</dcterms:created>
  <dcterms:modified xsi:type="dcterms:W3CDTF">2015-09-28T13:06:00Z</dcterms:modified>
</cp:coreProperties>
</file>